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Pr="00C82C97" w:rsidRDefault="00AC11A4">
      <w:pPr>
        <w:rPr>
          <w:rFonts w:ascii="Arial" w:hAnsi="Arial" w:cs="Arial"/>
          <w:sz w:val="24"/>
          <w:szCs w:val="24"/>
          <w:lang w:val="mk-MK"/>
        </w:rPr>
      </w:pPr>
      <w:proofErr w:type="spellStart"/>
      <w:r w:rsidRPr="00C82C97">
        <w:rPr>
          <w:rFonts w:ascii="Arial" w:hAnsi="Arial" w:cs="Arial"/>
          <w:sz w:val="24"/>
          <w:szCs w:val="24"/>
        </w:rPr>
        <w:t>Thuja</w:t>
      </w:r>
      <w:proofErr w:type="spellEnd"/>
      <w:r w:rsidRPr="00C82C97">
        <w:rPr>
          <w:rFonts w:ascii="Arial" w:hAnsi="Arial" w:cs="Arial"/>
          <w:sz w:val="24"/>
          <w:szCs w:val="24"/>
        </w:rPr>
        <w:t xml:space="preserve"> – </w:t>
      </w:r>
      <w:r w:rsidRPr="00C82C97">
        <w:rPr>
          <w:rFonts w:ascii="Arial" w:hAnsi="Arial" w:cs="Arial"/>
          <w:sz w:val="24"/>
          <w:szCs w:val="24"/>
          <w:lang w:val="mk-MK"/>
        </w:rPr>
        <w:t xml:space="preserve">Туја </w:t>
      </w:r>
    </w:p>
    <w:p w:rsidR="00AC11A4" w:rsidRPr="00C82C97" w:rsidRDefault="00AC11A4">
      <w:pPr>
        <w:rPr>
          <w:rFonts w:ascii="Arial" w:hAnsi="Arial" w:cs="Arial"/>
          <w:sz w:val="24"/>
          <w:szCs w:val="24"/>
          <w:lang w:val="mk-MK"/>
        </w:rPr>
      </w:pPr>
    </w:p>
    <w:p w:rsidR="00AC11A4" w:rsidRPr="00C82C97" w:rsidRDefault="00AC11A4">
      <w:pPr>
        <w:rPr>
          <w:rFonts w:ascii="Arial" w:hAnsi="Arial" w:cs="Arial"/>
          <w:sz w:val="24"/>
          <w:szCs w:val="24"/>
          <w:lang w:val="mk-MK"/>
        </w:rPr>
      </w:pPr>
      <w:r w:rsidRPr="00C82C97">
        <w:rPr>
          <w:rFonts w:ascii="Arial" w:hAnsi="Arial" w:cs="Arial"/>
          <w:sz w:val="24"/>
          <w:szCs w:val="24"/>
          <w:lang w:val="mk-MK"/>
        </w:rPr>
        <w:t xml:space="preserve">Тујата е иглолисно растение од родот на четинари. Има  вида кои се најзастапени во уредување на парковите и дворовите. Во минатото најчесто се користеле гранчиња од туја за изработка на китенки за традивионалните македонски свадби. </w:t>
      </w:r>
    </w:p>
    <w:p w:rsidR="00AC11A4" w:rsidRPr="00C82C97" w:rsidRDefault="00AC11A4">
      <w:pPr>
        <w:rPr>
          <w:rFonts w:ascii="Arial" w:hAnsi="Arial" w:cs="Arial"/>
          <w:sz w:val="24"/>
          <w:szCs w:val="24"/>
          <w:lang w:val="mk-MK"/>
        </w:rPr>
      </w:pPr>
      <w:r w:rsidRPr="00C82C97">
        <w:rPr>
          <w:rFonts w:ascii="Arial" w:hAnsi="Arial" w:cs="Arial"/>
          <w:sz w:val="24"/>
          <w:szCs w:val="24"/>
          <w:lang w:val="mk-MK"/>
        </w:rPr>
        <w:t xml:space="preserve">Со посебен начин на кроење од туите се прават разни декоративни форми и жива ограда. </w:t>
      </w:r>
    </w:p>
    <w:p w:rsidR="00C82C97" w:rsidRPr="00C82C97" w:rsidRDefault="00C82C97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C82C97" w:rsidRPr="00C82C97" w:rsidRDefault="00C82C97">
      <w:pPr>
        <w:rPr>
          <w:rFonts w:ascii="Arial" w:hAnsi="Arial" w:cs="Arial"/>
          <w:sz w:val="24"/>
          <w:szCs w:val="24"/>
          <w:lang w:val="mk-MK"/>
        </w:rPr>
      </w:pPr>
    </w:p>
    <w:p w:rsidR="00AC11A4" w:rsidRPr="00C82C97" w:rsidRDefault="00C82C97">
      <w:pPr>
        <w:rPr>
          <w:rFonts w:ascii="Arial" w:hAnsi="Arial" w:cs="Arial"/>
          <w:sz w:val="24"/>
          <w:szCs w:val="24"/>
          <w:lang w:val="mk-MK"/>
        </w:rPr>
      </w:pPr>
      <w:r w:rsidRPr="00C82C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53360" cy="20650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C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49780" cy="207992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ja_standish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807" cy="209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C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1792" cy="22383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ja-smaragd-topij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7349" cy="22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1A4" w:rsidRPr="00C82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1"/>
    <w:rsid w:val="00016058"/>
    <w:rsid w:val="001B17F1"/>
    <w:rsid w:val="00894195"/>
    <w:rsid w:val="00AC11A4"/>
    <w:rsid w:val="00C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B4E0-12BB-46E7-AC12-6716E5A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2019-05-22T20:40:00Z</dcterms:created>
  <dcterms:modified xsi:type="dcterms:W3CDTF">2019-05-22T20:53:00Z</dcterms:modified>
</cp:coreProperties>
</file>