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3402"/>
        <w:gridCol w:w="3295"/>
        <w:gridCol w:w="1100"/>
        <w:gridCol w:w="2126"/>
        <w:gridCol w:w="1984"/>
      </w:tblGrid>
      <w:tr w:rsidR="00C33ED2" w:rsidRPr="00DB32DD" w:rsidTr="0049532D">
        <w:trPr>
          <w:trHeight w:val="694"/>
        </w:trPr>
        <w:tc>
          <w:tcPr>
            <w:tcW w:w="15984" w:type="dxa"/>
            <w:gridSpan w:val="7"/>
            <w:shd w:val="clear" w:color="auto" w:fill="auto"/>
          </w:tcPr>
          <w:p w:rsidR="00C33ED2" w:rsidRPr="00202BBC" w:rsidRDefault="00C33ED2" w:rsidP="008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Наставник: </w:t>
            </w:r>
            <w:r w:rsidR="009937E8">
              <w:rPr>
                <w:rFonts w:ascii="Arial" w:hAnsi="Arial" w:cs="Arial"/>
                <w:b/>
                <w:sz w:val="20"/>
                <w:szCs w:val="20"/>
                <w:lang w:val="mk-MK"/>
              </w:rPr>
              <w:t>Биљана Илиева</w:t>
            </w:r>
          </w:p>
          <w:p w:rsidR="00C33ED2" w:rsidRPr="00DB32DD" w:rsidRDefault="00C33ED2" w:rsidP="008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Наставен предмет: </w:t>
            </w:r>
            <w:r w:rsidR="009937E8">
              <w:rPr>
                <w:rFonts w:ascii="Arial" w:hAnsi="Arial" w:cs="Arial"/>
                <w:b/>
                <w:sz w:val="20"/>
                <w:szCs w:val="20"/>
                <w:lang w:val="mk-MK"/>
              </w:rPr>
              <w:t>Биологија</w:t>
            </w:r>
          </w:p>
          <w:p w:rsidR="00C33ED2" w:rsidRPr="00857197" w:rsidRDefault="00C33ED2" w:rsidP="008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Оперативен план за наставен час: 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Дихотомни клучеви</w:t>
            </w:r>
          </w:p>
        </w:tc>
      </w:tr>
      <w:tr w:rsidR="00C33ED2" w:rsidRPr="00DB32DD" w:rsidTr="0049532D">
        <w:trPr>
          <w:trHeight w:val="256"/>
        </w:trPr>
        <w:tc>
          <w:tcPr>
            <w:tcW w:w="4077" w:type="dxa"/>
            <w:gridSpan w:val="2"/>
            <w:shd w:val="clear" w:color="auto" w:fill="auto"/>
          </w:tcPr>
          <w:p w:rsidR="00C33ED2" w:rsidRPr="00C44DD0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Недела што започнува на:</w:t>
            </w:r>
            <w:r w:rsidRPr="00DB32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B32DD">
              <w:rPr>
                <w:rFonts w:ascii="Arial" w:hAnsi="Arial" w:cs="Arial"/>
                <w:sz w:val="20"/>
                <w:szCs w:val="20"/>
                <w:u w:val="single"/>
              </w:rPr>
              <w:t>Недела</w:t>
            </w:r>
            <w:proofErr w:type="spellEnd"/>
            <w:r w:rsidRPr="00DB32D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B32DD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/>
                <w:lang w:val="mk-MK"/>
              </w:rPr>
              <w:t>7</w:t>
            </w:r>
            <w:r w:rsidRPr="00DB32DD">
              <w:rPr>
                <w:rFonts w:ascii="Arial" w:hAnsi="Arial" w:cs="Arial"/>
                <w:spacing w:val="1"/>
                <w:sz w:val="20"/>
                <w:szCs w:val="20"/>
                <w:u w:val="single"/>
                <w:lang w:val="mk-MK"/>
              </w:rPr>
              <w:t xml:space="preserve"> </w:t>
            </w:r>
            <w:proofErr w:type="spellStart"/>
            <w:r w:rsidRPr="00DB32DD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Лекција</w:t>
            </w:r>
            <w:proofErr w:type="spellEnd"/>
            <w:r w:rsidRPr="00DB32DD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/>
                <w:lang w:val="mk-MK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33ED2" w:rsidRPr="009937E8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Дата</w:t>
            </w:r>
            <w:r w:rsidRPr="00DB32D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37E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03.03.2017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C33ED2" w:rsidRPr="00C33ED2" w:rsidRDefault="00C33ED2" w:rsidP="0080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Тема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mk-MK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В: 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9.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mk-MK"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mk-MK"/>
              </w:rPr>
              <w:t>Екологија</w:t>
            </w:r>
          </w:p>
        </w:tc>
        <w:tc>
          <w:tcPr>
            <w:tcW w:w="1984" w:type="dxa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дделение</w:t>
            </w: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B32DD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</w:tr>
      <w:tr w:rsidR="00C33ED2" w:rsidRPr="00DB32DD" w:rsidTr="0049532D">
        <w:trPr>
          <w:trHeight w:val="70"/>
        </w:trPr>
        <w:tc>
          <w:tcPr>
            <w:tcW w:w="1101" w:type="dxa"/>
            <w:vMerge w:val="restart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Време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Цели на учење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Критериуми за успех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Активности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Ресурси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Доказ за постигнатото</w:t>
            </w:r>
          </w:p>
        </w:tc>
      </w:tr>
      <w:tr w:rsidR="00C33ED2" w:rsidRPr="00DB32DD" w:rsidTr="0049532D">
        <w:trPr>
          <w:trHeight w:val="283"/>
        </w:trPr>
        <w:tc>
          <w:tcPr>
            <w:tcW w:w="1101" w:type="dxa"/>
            <w:vMerge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295" w:type="dxa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Опис</w:t>
            </w:r>
          </w:p>
        </w:tc>
        <w:tc>
          <w:tcPr>
            <w:tcW w:w="1100" w:type="dxa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Ц/Г/И/П</w:t>
            </w:r>
          </w:p>
        </w:tc>
        <w:tc>
          <w:tcPr>
            <w:tcW w:w="2126" w:type="dxa"/>
            <w:vMerge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ED2" w:rsidRPr="00DB32DD" w:rsidTr="0049532D">
        <w:trPr>
          <w:trHeight w:val="800"/>
        </w:trPr>
        <w:tc>
          <w:tcPr>
            <w:tcW w:w="1101" w:type="dxa"/>
            <w:shd w:val="clear" w:color="auto" w:fill="auto"/>
          </w:tcPr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10</w:t>
            </w: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10</w:t>
            </w: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10</w:t>
            </w: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C33ED2" w:rsidRPr="0050149C" w:rsidRDefault="00C33ED2" w:rsidP="00804B7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StobiSerif Regular" w:hAnsi="StobiSerif Regular" w:cs="Arial"/>
                <w:sz w:val="24"/>
                <w:szCs w:val="24"/>
                <w:u w:val="single"/>
              </w:rPr>
            </w:pPr>
          </w:p>
          <w:p w:rsidR="00C33ED2" w:rsidRPr="00C33ED2" w:rsidRDefault="00C33ED2" w:rsidP="00804B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Користи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прави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дихотомни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клучеви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за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идентификување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на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растенија</w:t>
            </w:r>
            <w:proofErr w:type="spellEnd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C33ED2">
              <w:rPr>
                <w:rFonts w:asciiTheme="minorHAnsi" w:eastAsia="Arial" w:hAnsiTheme="minorHAnsi" w:cstheme="minorHAnsi"/>
                <w:sz w:val="24"/>
                <w:szCs w:val="24"/>
              </w:rPr>
              <w:t>животни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33ED2" w:rsidRPr="00DB32DD" w:rsidRDefault="00DB5BCE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="00B05A05">
              <w:rPr>
                <w:rFonts w:ascii="Arial" w:hAnsi="Arial" w:cs="Arial"/>
                <w:sz w:val="20"/>
                <w:szCs w:val="20"/>
                <w:lang w:val="mk-MK"/>
              </w:rPr>
              <w:t>ите ученици знаат да класифицираат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според сличности</w:t>
            </w:r>
            <w:r w:rsidR="00C33ED2" w:rsidRPr="00DB32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sz w:val="20"/>
                <w:szCs w:val="20"/>
                <w:lang w:val="mk-MK"/>
              </w:rPr>
              <w:t xml:space="preserve">Поголем дел од учениците ги </w:t>
            </w:r>
            <w:r w:rsidR="00DB5BCE">
              <w:rPr>
                <w:rFonts w:ascii="Arial" w:hAnsi="Arial" w:cs="Arial"/>
                <w:sz w:val="20"/>
                <w:szCs w:val="20"/>
                <w:lang w:val="mk-MK"/>
              </w:rPr>
              <w:t>составуваат прашањата за составување на биолошкиот клуч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Pr="00DB32DD" w:rsidRDefault="00C33ED2" w:rsidP="00DB5B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Некои ученици можат </w:t>
            </w:r>
            <w:r w:rsidR="00DB5BCE">
              <w:rPr>
                <w:rFonts w:ascii="Arial" w:hAnsi="Arial" w:cs="Arial"/>
                <w:sz w:val="20"/>
                <w:szCs w:val="20"/>
                <w:lang w:val="mk-MK"/>
              </w:rPr>
              <w:t>можат да состават биолошки клуч со употреба на повеќе прашања</w:t>
            </w:r>
            <w:r w:rsidR="00B05A05">
              <w:rPr>
                <w:rFonts w:ascii="Arial" w:hAnsi="Arial" w:cs="Arial"/>
                <w:sz w:val="20"/>
                <w:szCs w:val="20"/>
                <w:lang w:val="mk-MK"/>
              </w:rPr>
              <w:t xml:space="preserve"> и одредуваат еден вид или раса.</w:t>
            </w:r>
          </w:p>
        </w:tc>
        <w:tc>
          <w:tcPr>
            <w:tcW w:w="3295" w:type="dxa"/>
            <w:shd w:val="clear" w:color="auto" w:fill="auto"/>
          </w:tcPr>
          <w:p w:rsidR="00DB5BCE" w:rsidRPr="00DB5BCE" w:rsidRDefault="00DB5BCE" w:rsidP="00DB5BCE">
            <w:pPr>
              <w:pStyle w:val="activities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Повторете ја претходната работа на класифицирање прашувајќи ги учениците за нешта кои треба да ги подредат во домот, пр. прибор за јадење, ТВ канали, ЦД/ДВД дискови. Прашајте ги учениците како мислат дека е најдобро да ги подредат.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>Кои прашања би можеле да ги поставите за подредувањето прибор за јадење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Побарајте од учениците да подредат некои предмети од училницата во групи според нивните сличности. На овие предмети им се даваат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‘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смешни научни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’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имиња, така што учениците ќе се ангажираат со активноста.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Развијте ја активноста со тоа што ќе покажете колку да/не прашања може да се користат за да се одредат предметите во секоја група.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Повторете ја претходната активност со користење на слики од раси на кучиња. Факти (пр. за висината на секое куче) може да бидат обезбедени за секој пример.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Демонстрирајте како да ги поделите кучињата во групи со поставување на прашања за кое има 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да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или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не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одговор, пр.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 xml:space="preserve">Дали кучето е големо 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>над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65cm)?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Прашајте ги учениците 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>Кое прашање би можело да се користи за да се поделат големите кучиња на дополнителни групи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>?’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Следно, поделете ја секоја група на понатамошни делови со поставување на друго прашање на кое има 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да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или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не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одговор, пр. 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>‘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>Дали кучето има кафеаво-црно крзно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>?’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На крајот, групите може да бидат поделени на индивидуални кучиња на кои можеме да им дадеме имиња, пр. 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>‘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  <w:lang w:val="mk-MK"/>
              </w:rPr>
              <w:t>Дали кучето има виткани влакна</w:t>
            </w:r>
            <w:r w:rsidRPr="00DB5B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?’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со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што би можело да се именува реалното куче.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5BCE">
              <w:rPr>
                <w:rFonts w:asciiTheme="minorHAnsi" w:hAnsiTheme="minorHAnsi" w:cstheme="minorHAnsi"/>
                <w:sz w:val="22"/>
                <w:szCs w:val="22"/>
              </w:rPr>
              <w:t>Објаснете</w:t>
            </w:r>
            <w:proofErr w:type="spellEnd"/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5BCE">
              <w:rPr>
                <w:rFonts w:asciiTheme="minorHAnsi" w:hAnsiTheme="minorHAnsi" w:cstheme="minorHAnsi"/>
                <w:sz w:val="22"/>
                <w:szCs w:val="22"/>
              </w:rPr>
              <w:t>дека</w:t>
            </w:r>
            <w:proofErr w:type="spellEnd"/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со поставување прашања кои ги делат кучињата, може да се направи клуч. За да се заштеди простор, биолозите ги набројуваат прашањата и даваат инструкции на крајот за тоа кое прашање да биде следно, пр.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Дали кучето е повисоко од 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65cm? 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Доколку е, продолжете со прашање 2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Доколку не е, продолжете со прашање 5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Дали кучето има кафеаво или црно крзно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Доколку има, продолжете со прашање 3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Доколку нема, продолжете со прашање 4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Дали кучето има волнено крзно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Доколку има, тогаш е 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Ердејл териер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Доколку нема, тогаш е</w:t>
            </w:r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ротвајлер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Побарајте од учениците да го копираат клучот и потоа да го пополнат за да ги класифицираат останатите кучиња.</w:t>
            </w: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B5BCE" w:rsidRPr="00DB5BCE" w:rsidRDefault="00DB5BCE" w:rsidP="00DB5BCE">
            <w:pPr>
              <w:pStyle w:val="activities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B5BCE">
              <w:rPr>
                <w:rFonts w:asciiTheme="minorHAnsi" w:hAnsiTheme="minorHAnsi" w:cstheme="minorHAnsi"/>
                <w:b/>
                <w:sz w:val="22"/>
                <w:szCs w:val="22"/>
              </w:rPr>
              <w:t>Донесете</w:t>
            </w:r>
            <w:proofErr w:type="spellEnd"/>
            <w:r w:rsidRPr="00DB5B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B5BCE">
              <w:rPr>
                <w:rFonts w:asciiTheme="minorHAnsi" w:hAnsiTheme="minorHAnsi" w:cstheme="minorHAnsi"/>
                <w:b/>
                <w:sz w:val="22"/>
                <w:szCs w:val="22"/>
              </w:rPr>
              <w:t>заклучок</w:t>
            </w:r>
            <w:proofErr w:type="spellEnd"/>
            <w:r w:rsidRPr="00DB5B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B5BCE">
              <w:rPr>
                <w:rFonts w:asciiTheme="minorHAnsi" w:hAnsiTheme="minorHAnsi" w:cstheme="minorHAnsi"/>
                <w:sz w:val="22"/>
                <w:szCs w:val="22"/>
              </w:rPr>
              <w:t>дека</w:t>
            </w:r>
            <w:proofErr w:type="spellEnd"/>
            <w:r w:rsidRPr="00DB5B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5BCE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биолошките клучеви се напишани со употреба на повеќе прашања со да/не одговор кои понатаму ги делат големите групи на две. Евентуално може да се одреди еден вид или раса.</w:t>
            </w:r>
          </w:p>
          <w:p w:rsidR="00C33ED2" w:rsidRPr="008B576D" w:rsidRDefault="00C33ED2" w:rsidP="00DB5BCE">
            <w:pPr>
              <w:pStyle w:val="activities"/>
              <w:numPr>
                <w:ilvl w:val="0"/>
                <w:numId w:val="0"/>
              </w:numPr>
              <w:ind w:left="317" w:hanging="317"/>
              <w:rPr>
                <w:rFonts w:ascii="StobiSerif Regular" w:hAnsi="StobiSerif Regular" w:hint="eastAsia"/>
                <w:u w:val="single"/>
              </w:rPr>
            </w:pPr>
          </w:p>
        </w:tc>
        <w:tc>
          <w:tcPr>
            <w:tcW w:w="1100" w:type="dxa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Ц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B05A05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Pr="00DB32DD" w:rsidRDefault="00B05A05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</w:p>
        </w:tc>
        <w:tc>
          <w:tcPr>
            <w:tcW w:w="2126" w:type="dxa"/>
            <w:shd w:val="clear" w:color="auto" w:fill="auto"/>
          </w:tcPr>
          <w:p w:rsidR="00DB5BCE" w:rsidRDefault="00DB5BCE" w:rsidP="00DB5BCE">
            <w:pPr>
              <w:rPr>
                <w:rFonts w:asciiTheme="minorHAnsi" w:hAnsiTheme="minorHAnsi" w:cstheme="minorHAnsi"/>
                <w:lang w:val="mk-MK"/>
              </w:rPr>
            </w:pPr>
            <w:r w:rsidRPr="00DB5BCE">
              <w:rPr>
                <w:rFonts w:asciiTheme="minorHAnsi" w:hAnsiTheme="minorHAnsi" w:cstheme="minorHAnsi"/>
                <w:lang w:val="mk-MK"/>
              </w:rPr>
              <w:lastRenderedPageBreak/>
              <w:t>Предмети за подредување</w:t>
            </w:r>
            <w:r w:rsidRPr="00DB5BCE">
              <w:rPr>
                <w:rFonts w:asciiTheme="minorHAnsi" w:hAnsiTheme="minorHAnsi" w:cstheme="minorHAnsi"/>
              </w:rPr>
              <w:t xml:space="preserve">: </w:t>
            </w:r>
            <w:r w:rsidRPr="00DB5BCE">
              <w:rPr>
                <w:rFonts w:asciiTheme="minorHAnsi" w:hAnsiTheme="minorHAnsi" w:cstheme="minorHAnsi"/>
                <w:lang w:val="mk-MK"/>
              </w:rPr>
              <w:t>голема спојувалка за хартија, копчиња (спојувалки) за хартија, наострен молив, ненаострен молив, гума, ножици, капаче од пенкало, калкулат</w:t>
            </w:r>
            <w:r>
              <w:rPr>
                <w:rFonts w:asciiTheme="minorHAnsi" w:hAnsiTheme="minorHAnsi" w:cstheme="minorHAnsi"/>
                <w:lang w:val="mk-MK"/>
              </w:rPr>
              <w:t>ор, имобилизатор.</w:t>
            </w:r>
          </w:p>
          <w:p w:rsidR="00DB5BCE" w:rsidRPr="00DB5BCE" w:rsidRDefault="00DB5BCE" w:rsidP="00DB5BCE">
            <w:pPr>
              <w:rPr>
                <w:rFonts w:asciiTheme="minorHAnsi" w:hAnsiTheme="minorHAnsi" w:cstheme="minorHAnsi"/>
                <w:lang w:val="mk-MK"/>
              </w:rPr>
            </w:pPr>
            <w:r w:rsidRPr="00DB5BCE">
              <w:rPr>
                <w:rFonts w:asciiTheme="minorHAnsi" w:hAnsiTheme="minorHAnsi" w:cstheme="minorHAnsi"/>
                <w:lang w:val="mk-MK"/>
              </w:rPr>
              <w:t>Следниот работен лист дава пример за оваа активност, каде што на секоја  единица ѝ е дадено хумористично име</w:t>
            </w:r>
            <w:r w:rsidRPr="00DB5BCE">
              <w:rPr>
                <w:rFonts w:asciiTheme="minorHAnsi" w:hAnsiTheme="minorHAnsi" w:cstheme="minorHAnsi"/>
              </w:rPr>
              <w:t>:</w:t>
            </w:r>
          </w:p>
          <w:p w:rsidR="00DB5BCE" w:rsidRPr="00DB5BCE" w:rsidRDefault="004B489F" w:rsidP="00DB5BCE">
            <w:pPr>
              <w:rPr>
                <w:rFonts w:asciiTheme="minorHAnsi" w:hAnsiTheme="minorHAnsi" w:cstheme="minorHAnsi"/>
              </w:rPr>
            </w:pPr>
            <w:hyperlink r:id="rId5" w:history="1">
              <w:r w:rsidR="00DB5BCE" w:rsidRPr="00DB5BCE">
                <w:rPr>
                  <w:rStyle w:val="Hyperlink"/>
                  <w:rFonts w:asciiTheme="minorHAnsi" w:hAnsiTheme="minorHAnsi" w:cstheme="minorHAnsi"/>
                </w:rPr>
                <w:t>https://www.tes.com/teaching-resource/silly-science-dichotomus-key-6050755</w:t>
              </w:r>
            </w:hyperlink>
          </w:p>
          <w:p w:rsidR="00DB5BCE" w:rsidRPr="00DB5BCE" w:rsidRDefault="00DB5BCE" w:rsidP="00DB5BCE">
            <w:pPr>
              <w:rPr>
                <w:rFonts w:asciiTheme="minorHAnsi" w:hAnsiTheme="minorHAnsi" w:cstheme="minorHAnsi"/>
              </w:rPr>
            </w:pPr>
            <w:r w:rsidRPr="00DB5BCE">
              <w:rPr>
                <w:rFonts w:asciiTheme="minorHAnsi" w:hAnsiTheme="minorHAnsi" w:cstheme="minorHAnsi"/>
              </w:rPr>
              <w:t>(</w:t>
            </w:r>
            <w:proofErr w:type="spellStart"/>
            <w:r w:rsidRPr="00DB5BCE">
              <w:rPr>
                <w:rFonts w:asciiTheme="minorHAnsi" w:hAnsiTheme="minorHAnsi" w:cstheme="minorHAnsi"/>
              </w:rPr>
              <w:t>потребна</w:t>
            </w:r>
            <w:proofErr w:type="spellEnd"/>
            <w:r w:rsidRPr="00DB5BCE">
              <w:rPr>
                <w:rFonts w:asciiTheme="minorHAnsi" w:hAnsiTheme="minorHAnsi" w:cstheme="minorHAnsi"/>
              </w:rPr>
              <w:t xml:space="preserve"> е </w:t>
            </w:r>
            <w:proofErr w:type="spellStart"/>
            <w:r w:rsidRPr="00DB5BCE">
              <w:rPr>
                <w:rFonts w:asciiTheme="minorHAnsi" w:hAnsiTheme="minorHAnsi" w:cstheme="minorHAnsi"/>
              </w:rPr>
              <w:t>бесплатна</w:t>
            </w:r>
            <w:proofErr w:type="spellEnd"/>
            <w:r w:rsidRPr="00DB5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5BCE">
              <w:rPr>
                <w:rFonts w:asciiTheme="minorHAnsi" w:hAnsiTheme="minorHAnsi" w:cstheme="minorHAnsi"/>
              </w:rPr>
              <w:t>регистрација</w:t>
            </w:r>
            <w:proofErr w:type="spellEnd"/>
            <w:r w:rsidRPr="00DB5BCE">
              <w:rPr>
                <w:rFonts w:asciiTheme="minorHAnsi" w:hAnsiTheme="minorHAnsi" w:cstheme="minorHAnsi"/>
              </w:rPr>
              <w:t>)</w:t>
            </w:r>
          </w:p>
          <w:p w:rsidR="00DB5BCE" w:rsidRPr="00DB5BCE" w:rsidRDefault="00DB5BCE" w:rsidP="00DB5BCE">
            <w:pPr>
              <w:rPr>
                <w:rFonts w:asciiTheme="minorHAnsi" w:hAnsiTheme="minorHAnsi" w:cstheme="minorHAnsi"/>
              </w:rPr>
            </w:pPr>
          </w:p>
          <w:p w:rsidR="00DB5BCE" w:rsidRPr="00DB5BCE" w:rsidRDefault="00DB5BCE" w:rsidP="00DB5BCE">
            <w:pPr>
              <w:rPr>
                <w:rFonts w:asciiTheme="minorHAnsi" w:hAnsiTheme="minorHAnsi" w:cstheme="minorHAnsi"/>
              </w:rPr>
            </w:pPr>
            <w:r w:rsidRPr="00DB5BCE">
              <w:rPr>
                <w:rFonts w:asciiTheme="minorHAnsi" w:hAnsiTheme="minorHAnsi" w:cstheme="minorHAnsi"/>
                <w:lang w:val="mk-MK"/>
              </w:rPr>
              <w:t>Користете работен лист со слики од голем број кучиња кои ќе им бидат познати на учениците. Важно е учениците да разбират дека тие се ист вид. Затоа клучот кој го создаваат ќе биде да се подели видот по раси на кучиња.</w:t>
            </w:r>
          </w:p>
          <w:p w:rsidR="00C33ED2" w:rsidRPr="00DB5BCE" w:rsidRDefault="00DB5BCE" w:rsidP="00DB5BCE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proofErr w:type="spellStart"/>
            <w:r w:rsidRPr="00DB5BCE">
              <w:rPr>
                <w:rFonts w:asciiTheme="minorHAnsi" w:hAnsiTheme="minorHAnsi" w:cstheme="minorHAnsi"/>
              </w:rPr>
              <w:t>Забелешка</w:t>
            </w:r>
            <w:proofErr w:type="spellEnd"/>
            <w:r w:rsidRPr="00DB5BCE">
              <w:rPr>
                <w:rFonts w:asciiTheme="minorHAnsi" w:hAnsiTheme="minorHAnsi" w:cstheme="minorHAnsi"/>
              </w:rPr>
              <w:t xml:space="preserve">: </w:t>
            </w:r>
            <w:r w:rsidRPr="00DB5BCE">
              <w:rPr>
                <w:rFonts w:asciiTheme="minorHAnsi" w:hAnsiTheme="minorHAnsi" w:cstheme="minorHAnsi"/>
                <w:lang w:val="mk-MK"/>
              </w:rPr>
              <w:t>овие раси може да се заменат со примери кои ќе им бидат познати на учениците</w:t>
            </w:r>
          </w:p>
        </w:tc>
        <w:tc>
          <w:tcPr>
            <w:tcW w:w="1984" w:type="dxa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Прашања и одговори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Дискусија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B05A05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Работен лист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B05A05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Изработен дихотомен клуч</w:t>
            </w: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</w:tc>
      </w:tr>
      <w:tr w:rsidR="0049532D" w:rsidRPr="00DB32DD" w:rsidTr="0049532D">
        <w:trPr>
          <w:trHeight w:val="780"/>
        </w:trPr>
        <w:tc>
          <w:tcPr>
            <w:tcW w:w="7479" w:type="dxa"/>
            <w:gridSpan w:val="3"/>
            <w:shd w:val="clear" w:color="auto" w:fill="auto"/>
          </w:tcPr>
          <w:p w:rsidR="0049532D" w:rsidRPr="00DB32D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lastRenderedPageBreak/>
              <w:t>Организирање: Детали за диферанцијација /групи/улога на возрасни</w:t>
            </w:r>
          </w:p>
          <w:p w:rsidR="0049532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B32DD">
              <w:rPr>
                <w:rFonts w:ascii="Arial" w:hAnsi="Arial" w:cs="Arial"/>
                <w:b/>
                <w:sz w:val="20"/>
                <w:szCs w:val="20"/>
                <w:lang w:val="mk-MK"/>
              </w:rPr>
              <w:t>(поврзани активности)</w:t>
            </w:r>
          </w:p>
          <w:p w:rsidR="0049532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Наставникот -  објаснува ,  планира ,организира ,контролира, потикнува активности истражување,дискусија.</w:t>
            </w:r>
          </w:p>
          <w:p w:rsidR="0049532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Учениците –дискутираат ,носат логични заклучоци,истражуваат,следат процеси и образложуваат.</w:t>
            </w:r>
          </w:p>
          <w:p w:rsidR="0049532D" w:rsidRPr="00DB32D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49532D" w:rsidRPr="00DB32D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Домашна работа –Да изработат примери за дихотомни клучеви</w:t>
            </w:r>
          </w:p>
        </w:tc>
        <w:tc>
          <w:tcPr>
            <w:tcW w:w="1984" w:type="dxa"/>
            <w:shd w:val="clear" w:color="auto" w:fill="auto"/>
          </w:tcPr>
          <w:p w:rsidR="0049532D" w:rsidRDefault="0049532D" w:rsidP="00804B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Клучна терминологија</w:t>
            </w:r>
          </w:p>
          <w:p w:rsidR="0049532D" w:rsidRPr="0049532D" w:rsidRDefault="0049532D" w:rsidP="0049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53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дихотомен клуч</w:t>
            </w:r>
          </w:p>
          <w:p w:rsidR="0049532D" w:rsidRPr="0049532D" w:rsidRDefault="0049532D" w:rsidP="004953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32D" w:rsidRPr="0049532D" w:rsidRDefault="0049532D" w:rsidP="0049532D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49532D">
              <w:rPr>
                <w:rFonts w:asciiTheme="minorHAnsi" w:hAnsiTheme="minorHAnsi" w:cstheme="minorHAnsi"/>
                <w:sz w:val="20"/>
                <w:szCs w:val="20"/>
                <w:lang w:val="mk-MK"/>
              </w:rPr>
              <w:t>класифицира</w:t>
            </w:r>
          </w:p>
          <w:p w:rsidR="0049532D" w:rsidRPr="0049532D" w:rsidRDefault="0049532D" w:rsidP="00495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32D">
              <w:rPr>
                <w:rFonts w:asciiTheme="minorHAnsi" w:hAnsiTheme="minorHAnsi" w:cstheme="minorHAnsi"/>
                <w:sz w:val="20"/>
                <w:szCs w:val="20"/>
              </w:rPr>
              <w:t>набљудува</w:t>
            </w:r>
            <w:proofErr w:type="spellEnd"/>
          </w:p>
          <w:p w:rsidR="0049532D" w:rsidRPr="00DB32DD" w:rsidRDefault="0049532D" w:rsidP="004953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proofErr w:type="spellStart"/>
            <w:r w:rsidRPr="0049532D">
              <w:rPr>
                <w:rFonts w:asciiTheme="minorHAnsi" w:hAnsiTheme="minorHAnsi" w:cstheme="minorHAnsi"/>
                <w:sz w:val="20"/>
                <w:szCs w:val="20"/>
              </w:rPr>
              <w:t>опишува</w:t>
            </w:r>
            <w:proofErr w:type="spellEnd"/>
          </w:p>
        </w:tc>
      </w:tr>
      <w:tr w:rsidR="00C33ED2" w:rsidRPr="00DB32DD" w:rsidTr="0049532D">
        <w:trPr>
          <w:trHeight w:val="135"/>
        </w:trPr>
        <w:tc>
          <w:tcPr>
            <w:tcW w:w="7479" w:type="dxa"/>
            <w:gridSpan w:val="3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33ED2" w:rsidRPr="00DB32DD" w:rsidRDefault="00C33ED2" w:rsidP="00804B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ED2" w:rsidRPr="007C20A2" w:rsidRDefault="00C33ED2" w:rsidP="00C33ED2">
      <w:pPr>
        <w:spacing w:after="0"/>
        <w:rPr>
          <w:rFonts w:ascii="Arial" w:hAnsi="Arial" w:cs="Arial"/>
          <w:sz w:val="20"/>
          <w:szCs w:val="20"/>
        </w:rPr>
      </w:pPr>
    </w:p>
    <w:p w:rsidR="009E5AE6" w:rsidRDefault="009E5AE6"/>
    <w:sectPr w:rsidR="009E5AE6" w:rsidSect="009F784C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tobiS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82A"/>
    <w:multiLevelType w:val="hybridMultilevel"/>
    <w:tmpl w:val="FE56D3AA"/>
    <w:lvl w:ilvl="0" w:tplc="B030A4F8">
      <w:start w:val="1"/>
      <w:numFmt w:val="bullet"/>
      <w:pStyle w:val="Activitiess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732EB"/>
    <w:multiLevelType w:val="hybridMultilevel"/>
    <w:tmpl w:val="B5FAEBCE"/>
    <w:lvl w:ilvl="0" w:tplc="F17EF768">
      <w:start w:val="1"/>
      <w:numFmt w:val="bullet"/>
      <w:pStyle w:val="activiti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ED2"/>
    <w:rsid w:val="0049532D"/>
    <w:rsid w:val="004B489F"/>
    <w:rsid w:val="00951D9F"/>
    <w:rsid w:val="009937E8"/>
    <w:rsid w:val="009E5AE6"/>
    <w:rsid w:val="00B05A05"/>
    <w:rsid w:val="00C33ED2"/>
    <w:rsid w:val="00DB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ED2"/>
    <w:pPr>
      <w:spacing w:after="0"/>
      <w:ind w:left="720"/>
      <w:jc w:val="both"/>
    </w:pPr>
    <w:rPr>
      <w:rFonts w:cs="Calibri"/>
    </w:rPr>
  </w:style>
  <w:style w:type="paragraph" w:customStyle="1" w:styleId="activities">
    <w:name w:val="activities"/>
    <w:basedOn w:val="ListParagraph"/>
    <w:qFormat/>
    <w:rsid w:val="00C33ED2"/>
    <w:pPr>
      <w:widowControl w:val="0"/>
      <w:numPr>
        <w:numId w:val="1"/>
      </w:numPr>
      <w:autoSpaceDE w:val="0"/>
      <w:autoSpaceDN w:val="0"/>
      <w:adjustRightInd w:val="0"/>
      <w:spacing w:line="240" w:lineRule="auto"/>
      <w:ind w:left="317" w:right="-20"/>
      <w:contextualSpacing/>
      <w:jc w:val="left"/>
    </w:pPr>
    <w:rPr>
      <w:rFonts w:ascii="Arial" w:eastAsia="MS ??" w:hAnsi="Arial" w:cs="Arial"/>
      <w:sz w:val="20"/>
      <w:szCs w:val="20"/>
      <w:lang w:val="en-GB"/>
    </w:rPr>
  </w:style>
  <w:style w:type="paragraph" w:customStyle="1" w:styleId="Activitiessubbullet">
    <w:name w:val="Activities subbullet"/>
    <w:basedOn w:val="activities"/>
    <w:qFormat/>
    <w:rsid w:val="00C33ED2"/>
    <w:pPr>
      <w:numPr>
        <w:numId w:val="2"/>
      </w:numPr>
    </w:pPr>
  </w:style>
  <w:style w:type="character" w:styleId="Hyperlink">
    <w:name w:val="Hyperlink"/>
    <w:uiPriority w:val="99"/>
    <w:unhideWhenUsed/>
    <w:rsid w:val="00C33ED2"/>
    <w:rPr>
      <w:color w:val="0000FF"/>
      <w:u w:val="single"/>
    </w:rPr>
  </w:style>
  <w:style w:type="paragraph" w:styleId="NoSpacing">
    <w:name w:val="No Spacing"/>
    <w:qFormat/>
    <w:rsid w:val="00DB5BCE"/>
    <w:pPr>
      <w:spacing w:after="0" w:line="240" w:lineRule="auto"/>
    </w:pPr>
    <w:rPr>
      <w:rFonts w:ascii="Arial" w:eastAsia="MS ??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.com/teaching-resource/silly-science-dichotomus-key-6050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3768</Characters>
  <Application>Microsoft Office Word</Application>
  <DocSecurity>0</DocSecurity>
  <Lines>31</Lines>
  <Paragraphs>8</Paragraphs>
  <ScaleCrop>false</ScaleCrop>
  <Company>Net Computers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User4437</dc:creator>
  <cp:lastModifiedBy>Emma</cp:lastModifiedBy>
  <cp:revision>2</cp:revision>
  <dcterms:created xsi:type="dcterms:W3CDTF">2017-03-02T23:02:00Z</dcterms:created>
  <dcterms:modified xsi:type="dcterms:W3CDTF">2017-03-02T23:02:00Z</dcterms:modified>
</cp:coreProperties>
</file>